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E063" w14:textId="4584326D" w:rsidR="00916BE8" w:rsidRPr="00ED65DA" w:rsidRDefault="000938A3" w:rsidP="000C4E9F">
      <w:pPr>
        <w:spacing w:after="0" w:line="360" w:lineRule="auto"/>
        <w:jc w:val="both"/>
        <w:rPr>
          <w:rFonts w:ascii="Arial" w:eastAsia="Times New Roman" w:hAnsi="Arial" w:cs="Arial"/>
          <w:sz w:val="38"/>
          <w:szCs w:val="38"/>
        </w:rPr>
      </w:pPr>
      <w:r w:rsidRPr="744165C6">
        <w:rPr>
          <w:rFonts w:ascii="Arial" w:hAnsi="Arial"/>
          <w:sz w:val="38"/>
          <w:szCs w:val="38"/>
        </w:rPr>
        <w:t xml:space="preserve">PÖTTINGER : FLEXCARE </w:t>
      </w:r>
      <w:r w:rsidR="3A1DFC9E" w:rsidRPr="744165C6">
        <w:rPr>
          <w:rFonts w:ascii="Arial" w:hAnsi="Arial"/>
          <w:sz w:val="38"/>
          <w:szCs w:val="38"/>
        </w:rPr>
        <w:t>version</w:t>
      </w:r>
      <w:r w:rsidRPr="744165C6">
        <w:rPr>
          <w:rFonts w:ascii="Arial" w:hAnsi="Arial"/>
          <w:sz w:val="38"/>
          <w:szCs w:val="38"/>
        </w:rPr>
        <w:t xml:space="preserve"> Profiline </w:t>
      </w:r>
    </w:p>
    <w:p w14:paraId="3712D695" w14:textId="3B2DA144" w:rsidR="00BC6E38" w:rsidRPr="00771BE0" w:rsidRDefault="00275935" w:rsidP="000C4E9F">
      <w:pPr>
        <w:spacing w:after="0" w:line="360" w:lineRule="auto"/>
        <w:jc w:val="both"/>
        <w:rPr>
          <w:rFonts w:ascii="Arial" w:hAnsi="Arial" w:cs="Arial"/>
          <w:sz w:val="36"/>
          <w:szCs w:val="36"/>
        </w:rPr>
      </w:pPr>
      <w:r>
        <w:rPr>
          <w:rFonts w:ascii="Arial" w:hAnsi="Arial"/>
          <w:sz w:val="36"/>
        </w:rPr>
        <w:t>Polyvalence et précision</w:t>
      </w:r>
    </w:p>
    <w:p w14:paraId="24AC85A9" w14:textId="77777777" w:rsidR="00275935" w:rsidRDefault="00275935" w:rsidP="000C4E9F">
      <w:pPr>
        <w:spacing w:after="0" w:line="360" w:lineRule="auto"/>
        <w:jc w:val="both"/>
        <w:rPr>
          <w:rFonts w:ascii="Arial" w:hAnsi="Arial" w:cs="Arial"/>
          <w:sz w:val="24"/>
          <w:szCs w:val="24"/>
        </w:rPr>
      </w:pPr>
    </w:p>
    <w:p w14:paraId="7EEB943C" w14:textId="59895E48" w:rsidR="0086132C" w:rsidRDefault="00D9002B" w:rsidP="000C4E9F">
      <w:pPr>
        <w:spacing w:after="0" w:line="360" w:lineRule="auto"/>
        <w:jc w:val="both"/>
        <w:rPr>
          <w:rFonts w:ascii="Arial" w:hAnsi="Arial" w:cs="Arial"/>
          <w:sz w:val="24"/>
          <w:szCs w:val="24"/>
        </w:rPr>
      </w:pPr>
      <w:r w:rsidRPr="744165C6">
        <w:rPr>
          <w:rFonts w:ascii="Arial" w:hAnsi="Arial"/>
          <w:sz w:val="24"/>
          <w:szCs w:val="24"/>
        </w:rPr>
        <w:t xml:space="preserve">Le spécialiste des cultures PÖTTINGER est toujours à la pointe des tendances pour l'optimisation des méthodes de production en agriculture. La bineuse FLEXCARE de la gamme d'entretien des cultures offre une polyvalence totale pour une utilisation dans différentes cultures. La </w:t>
      </w:r>
      <w:r w:rsidR="7F87C73C" w:rsidRPr="744165C6">
        <w:rPr>
          <w:rFonts w:ascii="Arial" w:hAnsi="Arial"/>
          <w:sz w:val="24"/>
          <w:szCs w:val="24"/>
        </w:rPr>
        <w:t xml:space="preserve">version </w:t>
      </w:r>
      <w:r w:rsidRPr="744165C6">
        <w:rPr>
          <w:rFonts w:ascii="Arial" w:hAnsi="Arial"/>
          <w:sz w:val="24"/>
          <w:szCs w:val="24"/>
        </w:rPr>
        <w:t>Profiline est désormais disponible en option pour la FLEXCARE. Elle est proposée sur toutes les machines jusqu'à 16 rangs.</w:t>
      </w:r>
    </w:p>
    <w:p w14:paraId="41C14CAD"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415FAFA5" w14:textId="360533B9" w:rsidR="00683216" w:rsidRDefault="00F94121" w:rsidP="5660F372">
      <w:pPr>
        <w:spacing w:after="0" w:line="360" w:lineRule="auto"/>
        <w:jc w:val="both"/>
        <w:rPr>
          <w:rFonts w:ascii="Arial" w:eastAsia="Times New Roman" w:hAnsi="Arial" w:cs="Arial"/>
          <w:b/>
          <w:bCs/>
          <w:color w:val="000000" w:themeColor="text1"/>
          <w:sz w:val="24"/>
          <w:szCs w:val="24"/>
        </w:rPr>
      </w:pPr>
      <w:r w:rsidRPr="744165C6">
        <w:rPr>
          <w:rFonts w:ascii="Arial" w:hAnsi="Arial"/>
          <w:b/>
          <w:bCs/>
          <w:color w:val="000000" w:themeColor="text1"/>
          <w:sz w:val="24"/>
          <w:szCs w:val="24"/>
        </w:rPr>
        <w:t xml:space="preserve">Précision grâce à la </w:t>
      </w:r>
      <w:r w:rsidR="59223B1D" w:rsidRPr="744165C6">
        <w:rPr>
          <w:rFonts w:ascii="Arial" w:hAnsi="Arial"/>
          <w:b/>
          <w:bCs/>
          <w:color w:val="000000" w:themeColor="text1"/>
          <w:sz w:val="24"/>
          <w:szCs w:val="24"/>
        </w:rPr>
        <w:t xml:space="preserve">version </w:t>
      </w:r>
      <w:r w:rsidRPr="744165C6">
        <w:rPr>
          <w:rFonts w:ascii="Arial" w:hAnsi="Arial"/>
          <w:b/>
          <w:bCs/>
          <w:color w:val="000000" w:themeColor="text1"/>
          <w:sz w:val="24"/>
          <w:szCs w:val="24"/>
        </w:rPr>
        <w:t>Profiline</w:t>
      </w:r>
    </w:p>
    <w:p w14:paraId="186C42CB" w14:textId="565753E0" w:rsidR="00D16B9C" w:rsidRDefault="00E71F57" w:rsidP="000C4E9F">
      <w:pPr>
        <w:spacing w:after="0" w:line="360" w:lineRule="auto"/>
        <w:jc w:val="both"/>
        <w:rPr>
          <w:rFonts w:ascii="Arial" w:hAnsi="Arial" w:cs="Arial"/>
          <w:sz w:val="24"/>
          <w:szCs w:val="24"/>
        </w:rPr>
      </w:pPr>
      <w:r w:rsidRPr="744165C6">
        <w:rPr>
          <w:rFonts w:ascii="Arial" w:hAnsi="Arial"/>
          <w:sz w:val="24"/>
          <w:szCs w:val="24"/>
        </w:rPr>
        <w:t xml:space="preserve">Avec la </w:t>
      </w:r>
      <w:r w:rsidR="351F578A" w:rsidRPr="744165C6">
        <w:rPr>
          <w:rFonts w:ascii="Arial" w:hAnsi="Arial"/>
          <w:sz w:val="24"/>
          <w:szCs w:val="24"/>
        </w:rPr>
        <w:t>version</w:t>
      </w:r>
      <w:r w:rsidRPr="744165C6">
        <w:rPr>
          <w:rFonts w:ascii="Arial" w:hAnsi="Arial"/>
          <w:sz w:val="24"/>
          <w:szCs w:val="24"/>
        </w:rPr>
        <w:t xml:space="preserve"> Profiline, les matériels peuvent être commandés directement via un terminal de tracteur compatible ISOBUS ou d'autres terminaux de commande. Chaque fonction est exécutée immédiatement par pression sur une touche ou </w:t>
      </w:r>
      <w:r w:rsidR="341859CB" w:rsidRPr="744165C6">
        <w:rPr>
          <w:rFonts w:ascii="Arial" w:hAnsi="Arial"/>
          <w:sz w:val="24"/>
          <w:szCs w:val="24"/>
        </w:rPr>
        <w:t>sur l’écran</w:t>
      </w:r>
      <w:r w:rsidRPr="744165C6">
        <w:rPr>
          <w:rFonts w:ascii="Arial" w:hAnsi="Arial"/>
          <w:sz w:val="24"/>
          <w:szCs w:val="24"/>
        </w:rPr>
        <w:t xml:space="preserve"> tactile. </w:t>
      </w:r>
    </w:p>
    <w:p w14:paraId="40AB6357" w14:textId="3543C125" w:rsidR="6C2939EB" w:rsidRDefault="00CF5EFC" w:rsidP="6C2939EB">
      <w:pPr>
        <w:spacing w:after="0" w:line="360" w:lineRule="auto"/>
        <w:jc w:val="both"/>
        <w:rPr>
          <w:rFonts w:ascii="Arial" w:hAnsi="Arial" w:cs="Arial"/>
          <w:sz w:val="24"/>
          <w:szCs w:val="24"/>
        </w:rPr>
      </w:pPr>
      <w:r>
        <w:rPr>
          <w:rFonts w:ascii="Arial" w:hAnsi="Arial"/>
          <w:sz w:val="24"/>
        </w:rPr>
        <w:t xml:space="preserve">L'alimentation en huile est assurée par le système hydraulique </w:t>
      </w:r>
      <w:proofErr w:type="spellStart"/>
      <w:r>
        <w:rPr>
          <w:rFonts w:ascii="Arial" w:hAnsi="Arial"/>
          <w:sz w:val="24"/>
        </w:rPr>
        <w:t>Load</w:t>
      </w:r>
      <w:proofErr w:type="spellEnd"/>
      <w:r>
        <w:rPr>
          <w:rFonts w:ascii="Arial" w:hAnsi="Arial"/>
          <w:sz w:val="24"/>
        </w:rPr>
        <w:t xml:space="preserve"> </w:t>
      </w:r>
      <w:proofErr w:type="spellStart"/>
      <w:r>
        <w:rPr>
          <w:rFonts w:ascii="Arial" w:hAnsi="Arial"/>
          <w:sz w:val="24"/>
        </w:rPr>
        <w:t>Sensing</w:t>
      </w:r>
      <w:proofErr w:type="spellEnd"/>
      <w:r>
        <w:rPr>
          <w:rFonts w:ascii="Arial" w:hAnsi="Arial"/>
          <w:sz w:val="24"/>
        </w:rPr>
        <w:t xml:space="preserve">. Ainsi, seule la puissance réellement nécessaire est demandée au système hydraulique du tracteur. Cela permet d'économiser de l'énergie et d'augmenter la productivité du tracteur. </w:t>
      </w:r>
    </w:p>
    <w:p w14:paraId="637E5925" w14:textId="77777777" w:rsidR="0011312A" w:rsidRDefault="0011312A" w:rsidP="000C4E9F">
      <w:pPr>
        <w:spacing w:after="0" w:line="360" w:lineRule="auto"/>
        <w:jc w:val="both"/>
        <w:rPr>
          <w:rFonts w:ascii="Arial" w:eastAsia="Times New Roman" w:hAnsi="Arial" w:cs="Arial"/>
          <w:b/>
          <w:color w:val="000000" w:themeColor="text1"/>
          <w:sz w:val="24"/>
          <w:szCs w:val="24"/>
          <w:lang w:eastAsia="de-DE"/>
        </w:rPr>
      </w:pPr>
    </w:p>
    <w:p w14:paraId="5CBC5E33" w14:textId="2FE2FF51" w:rsidR="0011312A" w:rsidRPr="000C4E9F" w:rsidRDefault="002F689C" w:rsidP="5660F372">
      <w:pPr>
        <w:spacing w:after="0" w:line="360" w:lineRule="auto"/>
        <w:jc w:val="both"/>
        <w:rPr>
          <w:rFonts w:ascii="Arial" w:eastAsia="Times New Roman" w:hAnsi="Arial" w:cs="Arial"/>
          <w:b/>
          <w:bCs/>
          <w:color w:val="000000" w:themeColor="text1"/>
          <w:sz w:val="24"/>
          <w:szCs w:val="24"/>
        </w:rPr>
      </w:pPr>
      <w:r>
        <w:rPr>
          <w:rFonts w:ascii="Arial" w:hAnsi="Arial"/>
          <w:b/>
          <w:color w:val="000000" w:themeColor="text1"/>
          <w:sz w:val="24"/>
        </w:rPr>
        <w:t>Confort maximal</w:t>
      </w:r>
    </w:p>
    <w:p w14:paraId="3C3B0187" w14:textId="29391AE9" w:rsidR="00D16B9C" w:rsidRPr="00E47134" w:rsidRDefault="0011312A" w:rsidP="00E47134">
      <w:pPr>
        <w:pStyle w:val="CP"/>
        <w:spacing w:line="360" w:lineRule="auto"/>
        <w:jc w:val="both"/>
        <w:rPr>
          <w:rFonts w:ascii="Arial" w:hAnsi="Arial" w:cs="Arial"/>
          <w:color w:val="auto"/>
          <w:spacing w:val="0"/>
          <w:sz w:val="24"/>
          <w:szCs w:val="24"/>
        </w:rPr>
      </w:pPr>
      <w:r>
        <w:rPr>
          <w:rFonts w:ascii="Arial" w:hAnsi="Arial"/>
          <w:color w:val="auto"/>
          <w:sz w:val="24"/>
        </w:rPr>
        <w:t>Chaque élément bineur est équipé d'un vérin hydraulique à double effet, ce qui permet de relever et d'abaisser les éléments bineurs</w:t>
      </w:r>
      <w:r>
        <w:rPr>
          <w:rFonts w:ascii="Arial" w:hAnsi="Arial"/>
          <w:color w:val="000000" w:themeColor="text1"/>
          <w:sz w:val="24"/>
        </w:rPr>
        <w:t xml:space="preserve"> du bout des doigts sur l'écran ou automatiquement</w:t>
      </w:r>
      <w:r>
        <w:rPr>
          <w:rFonts w:ascii="Arial" w:hAnsi="Arial"/>
          <w:color w:val="auto"/>
          <w:sz w:val="24"/>
        </w:rPr>
        <w:t xml:space="preserve"> sur la base du guidage GPS dans les bouts de champs ainsi que dans les coins de parcelles. Le conducteur voit ainsi sa tâche facilitée encore davantage, et peut se concentrer entièrement sur la qualité du travail de la bineuse.</w:t>
      </w:r>
    </w:p>
    <w:p w14:paraId="78906F1E" w14:textId="77777777" w:rsidR="0011312A" w:rsidRDefault="0011312A" w:rsidP="000C4E9F">
      <w:pPr>
        <w:spacing w:after="0" w:line="360" w:lineRule="auto"/>
        <w:jc w:val="both"/>
        <w:rPr>
          <w:rFonts w:ascii="Arial" w:eastAsia="Times New Roman" w:hAnsi="Arial" w:cs="Arial"/>
          <w:b/>
          <w:color w:val="000000" w:themeColor="text1"/>
          <w:sz w:val="24"/>
          <w:szCs w:val="24"/>
          <w:lang w:eastAsia="de-DE"/>
        </w:rPr>
      </w:pPr>
    </w:p>
    <w:p w14:paraId="0C41879D" w14:textId="32E4738B" w:rsidR="00FB2306" w:rsidRPr="000C4E9F" w:rsidRDefault="006D23D6" w:rsidP="5660F372">
      <w:pPr>
        <w:spacing w:after="0" w:line="360" w:lineRule="auto"/>
        <w:jc w:val="both"/>
        <w:rPr>
          <w:rFonts w:ascii="Arial" w:eastAsia="Times New Roman" w:hAnsi="Arial" w:cs="Arial"/>
          <w:b/>
          <w:bCs/>
          <w:color w:val="000000" w:themeColor="text1"/>
          <w:sz w:val="24"/>
          <w:szCs w:val="24"/>
        </w:rPr>
      </w:pPr>
      <w:r w:rsidRPr="744165C6">
        <w:rPr>
          <w:rFonts w:ascii="Arial" w:hAnsi="Arial"/>
          <w:b/>
          <w:bCs/>
          <w:color w:val="000000" w:themeColor="text1"/>
          <w:sz w:val="24"/>
          <w:szCs w:val="24"/>
        </w:rPr>
        <w:t xml:space="preserve">Profiline avec Section Control </w:t>
      </w:r>
    </w:p>
    <w:p w14:paraId="43654B3E" w14:textId="4C90269B" w:rsidR="00432C24" w:rsidRPr="00D85EBD" w:rsidRDefault="3CADAA09" w:rsidP="6C2939EB">
      <w:pPr>
        <w:pStyle w:val="CP"/>
        <w:spacing w:line="360" w:lineRule="auto"/>
        <w:jc w:val="both"/>
        <w:rPr>
          <w:rFonts w:ascii="Arial" w:hAnsi="Arial" w:cs="Arial"/>
          <w:color w:val="000000" w:themeColor="text1"/>
          <w:sz w:val="24"/>
          <w:szCs w:val="24"/>
        </w:rPr>
      </w:pPr>
      <w:r w:rsidRPr="744165C6">
        <w:rPr>
          <w:rFonts w:ascii="Arial" w:hAnsi="Arial"/>
          <w:color w:val="000000" w:themeColor="text1"/>
          <w:sz w:val="24"/>
          <w:szCs w:val="24"/>
        </w:rPr>
        <w:t xml:space="preserve">La </w:t>
      </w:r>
      <w:r w:rsidR="3266EF0D" w:rsidRPr="744165C6">
        <w:rPr>
          <w:rFonts w:ascii="Arial" w:hAnsi="Arial"/>
          <w:color w:val="000000" w:themeColor="text1"/>
          <w:sz w:val="24"/>
          <w:szCs w:val="24"/>
        </w:rPr>
        <w:t xml:space="preserve">version </w:t>
      </w:r>
      <w:r w:rsidRPr="744165C6">
        <w:rPr>
          <w:rFonts w:ascii="Arial" w:hAnsi="Arial"/>
          <w:color w:val="000000" w:themeColor="text1"/>
          <w:sz w:val="24"/>
          <w:szCs w:val="24"/>
        </w:rPr>
        <w:t xml:space="preserve">Profiline en option sur la bineuse FLEXCARE permet non seulement le relevage simultané de tous les éléments bineurs en bout de champ, mais aussi </w:t>
      </w:r>
      <w:r w:rsidR="7170A2D6" w:rsidRPr="744165C6">
        <w:rPr>
          <w:rFonts w:ascii="Arial" w:hAnsi="Arial"/>
          <w:color w:val="000000" w:themeColor="text1"/>
          <w:sz w:val="24"/>
          <w:szCs w:val="24"/>
        </w:rPr>
        <w:t xml:space="preserve">le relevage individuel </w:t>
      </w:r>
      <w:r w:rsidRPr="744165C6">
        <w:rPr>
          <w:rFonts w:ascii="Arial" w:hAnsi="Arial"/>
          <w:color w:val="000000" w:themeColor="text1"/>
          <w:sz w:val="24"/>
          <w:szCs w:val="24"/>
        </w:rPr>
        <w:t xml:space="preserve">d'éléments bineurs dans les parcelles en </w:t>
      </w:r>
      <w:r w:rsidR="7C5BD360" w:rsidRPr="744165C6">
        <w:rPr>
          <w:rFonts w:ascii="Arial" w:hAnsi="Arial"/>
          <w:color w:val="000000" w:themeColor="text1"/>
          <w:sz w:val="24"/>
          <w:szCs w:val="24"/>
        </w:rPr>
        <w:t>pointe</w:t>
      </w:r>
      <w:r w:rsidRPr="744165C6">
        <w:rPr>
          <w:rFonts w:ascii="Arial" w:hAnsi="Arial"/>
          <w:color w:val="000000" w:themeColor="text1"/>
          <w:sz w:val="24"/>
          <w:szCs w:val="24"/>
        </w:rPr>
        <w:t xml:space="preserve">. Grâce à </w:t>
      </w:r>
      <w:r w:rsidRPr="744165C6">
        <w:rPr>
          <w:rFonts w:ascii="Arial" w:hAnsi="Arial"/>
          <w:color w:val="000000" w:themeColor="text1"/>
          <w:sz w:val="24"/>
          <w:szCs w:val="24"/>
        </w:rPr>
        <w:lastRenderedPageBreak/>
        <w:t xml:space="preserve">l'ISOBUS, les éléments au travail sont </w:t>
      </w:r>
      <w:r w:rsidR="349D3F40" w:rsidRPr="744165C6">
        <w:rPr>
          <w:rFonts w:ascii="Arial" w:hAnsi="Arial"/>
          <w:color w:val="000000" w:themeColor="text1"/>
          <w:sz w:val="24"/>
          <w:szCs w:val="24"/>
        </w:rPr>
        <w:t xml:space="preserve">abaissés </w:t>
      </w:r>
      <w:r w:rsidRPr="744165C6">
        <w:rPr>
          <w:rFonts w:ascii="Arial" w:hAnsi="Arial"/>
          <w:color w:val="000000" w:themeColor="text1"/>
          <w:sz w:val="24"/>
          <w:szCs w:val="24"/>
        </w:rPr>
        <w:t xml:space="preserve">ou </w:t>
      </w:r>
      <w:r w:rsidR="173AF6F8" w:rsidRPr="744165C6">
        <w:rPr>
          <w:rFonts w:ascii="Arial" w:hAnsi="Arial"/>
          <w:color w:val="000000" w:themeColor="text1"/>
          <w:sz w:val="24"/>
          <w:szCs w:val="24"/>
        </w:rPr>
        <w:t xml:space="preserve">relevés </w:t>
      </w:r>
      <w:r w:rsidRPr="744165C6">
        <w:rPr>
          <w:rFonts w:ascii="Arial" w:hAnsi="Arial"/>
          <w:color w:val="000000" w:themeColor="text1"/>
          <w:sz w:val="24"/>
          <w:szCs w:val="24"/>
        </w:rPr>
        <w:t>avec une grande précision. Cela fonctionne automatiquement sur les zones de chevauchement lors des manœuvres en bout de champ. La culture est ainsi préservée, notamment dans les coins de parcelles, les chevauchements ou en bordure de champ.</w:t>
      </w:r>
    </w:p>
    <w:p w14:paraId="3F71F5DE" w14:textId="77777777" w:rsidR="0011312A" w:rsidRPr="000C4E9F" w:rsidRDefault="0011312A"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2FB3379B" w14:textId="15BA1D75" w:rsidR="007F40D7" w:rsidRDefault="007F40D7" w:rsidP="007F40D7">
      <w:pPr>
        <w:spacing w:line="360" w:lineRule="auto"/>
        <w:jc w:val="both"/>
        <w:rPr>
          <w:rFonts w:ascii="Arial" w:hAnsi="Arial" w:cs="Arial"/>
          <w:b/>
          <w:bCs/>
          <w:sz w:val="24"/>
          <w:szCs w:val="24"/>
        </w:rPr>
      </w:pPr>
      <w:r>
        <w:rPr>
          <w:rFonts w:ascii="Arial" w:hAnsi="Arial"/>
          <w:b/>
          <w:sz w:val="24"/>
        </w:rPr>
        <w:t>Aperçu des photos :</w:t>
      </w:r>
    </w:p>
    <w:tbl>
      <w:tblPr>
        <w:tblStyle w:val="Grilledutableau"/>
        <w:tblW w:w="0" w:type="auto"/>
        <w:tblLayout w:type="fixed"/>
        <w:tblLook w:val="04A0" w:firstRow="1" w:lastRow="0" w:firstColumn="1" w:lastColumn="0" w:noHBand="0" w:noVBand="1"/>
      </w:tblPr>
      <w:tblGrid>
        <w:gridCol w:w="4531"/>
        <w:gridCol w:w="4531"/>
      </w:tblGrid>
      <w:tr w:rsidR="00470447" w14:paraId="15E24032" w14:textId="77777777" w:rsidTr="003A2B1C">
        <w:tc>
          <w:tcPr>
            <w:tcW w:w="4531" w:type="dxa"/>
          </w:tcPr>
          <w:p w14:paraId="680F3870" w14:textId="04C8AC50" w:rsidR="00F37FD7" w:rsidRPr="003A2B1C" w:rsidRDefault="0019170F" w:rsidP="003A2B1C">
            <w:pPr>
              <w:spacing w:before="120" w:after="120"/>
              <w:jc w:val="center"/>
              <w:rPr>
                <w:rFonts w:ascii="Arial" w:hAnsi="Arial" w:cs="Arial"/>
                <w:sz w:val="24"/>
                <w:szCs w:val="24"/>
              </w:rPr>
            </w:pPr>
            <w:r>
              <w:rPr>
                <w:rFonts w:ascii="Arial" w:hAnsi="Arial"/>
                <w:b/>
                <w:noProof/>
                <w:sz w:val="24"/>
              </w:rPr>
              <w:drawing>
                <wp:inline distT="0" distB="0" distL="0" distR="0" wp14:anchorId="5C6327BE" wp14:editId="3E1D00CB">
                  <wp:extent cx="1521333" cy="1008000"/>
                  <wp:effectExtent l="0" t="0" r="3175" b="1905"/>
                  <wp:docPr id="1079817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17172" name=""/>
                          <pic:cNvPicPr/>
                        </pic:nvPicPr>
                        <pic:blipFill>
                          <a:blip r:embed="rId10">
                            <a:extLst>
                              <a:ext uri="{28A0092B-C50C-407E-A947-70E740481C1C}">
                                <a14:useLocalDpi xmlns:a14="http://schemas.microsoft.com/office/drawing/2010/main" val="0"/>
                              </a:ext>
                            </a:extLst>
                          </a:blip>
                          <a:stretch>
                            <a:fillRect/>
                          </a:stretch>
                        </pic:blipFill>
                        <pic:spPr>
                          <a:xfrm>
                            <a:off x="0" y="0"/>
                            <a:ext cx="1521333" cy="1008000"/>
                          </a:xfrm>
                          <a:prstGeom prst="rect">
                            <a:avLst/>
                          </a:prstGeom>
                        </pic:spPr>
                      </pic:pic>
                    </a:graphicData>
                  </a:graphic>
                </wp:inline>
              </w:drawing>
            </w:r>
          </w:p>
        </w:tc>
        <w:tc>
          <w:tcPr>
            <w:tcW w:w="4531" w:type="dxa"/>
          </w:tcPr>
          <w:p w14:paraId="2AF50C36" w14:textId="6C63EC8C" w:rsidR="00470447" w:rsidRPr="003A2B1C" w:rsidRDefault="0052408A" w:rsidP="003A2B1C">
            <w:pPr>
              <w:spacing w:before="120" w:after="120"/>
              <w:jc w:val="center"/>
              <w:rPr>
                <w:rFonts w:ascii="Arial" w:hAnsi="Arial" w:cs="Arial"/>
                <w:sz w:val="24"/>
                <w:szCs w:val="24"/>
              </w:rPr>
            </w:pPr>
            <w:r>
              <w:rPr>
                <w:noProof/>
              </w:rPr>
              <w:drawing>
                <wp:inline distT="0" distB="0" distL="0" distR="0" wp14:anchorId="0F014AA8" wp14:editId="50BC087D">
                  <wp:extent cx="1508855" cy="1008000"/>
                  <wp:effectExtent l="0" t="0" r="0" b="1905"/>
                  <wp:docPr id="147157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855" cy="1008000"/>
                          </a:xfrm>
                          <a:prstGeom prst="rect">
                            <a:avLst/>
                          </a:prstGeom>
                          <a:noFill/>
                          <a:ln>
                            <a:noFill/>
                          </a:ln>
                        </pic:spPr>
                      </pic:pic>
                    </a:graphicData>
                  </a:graphic>
                </wp:inline>
              </w:drawing>
            </w:r>
          </w:p>
        </w:tc>
      </w:tr>
      <w:tr w:rsidR="00470447" w14:paraId="1BC7B300" w14:textId="77777777" w:rsidTr="003A2B1C">
        <w:tc>
          <w:tcPr>
            <w:tcW w:w="4531" w:type="dxa"/>
          </w:tcPr>
          <w:p w14:paraId="23C58A12" w14:textId="51C747EC" w:rsidR="00470447" w:rsidRDefault="00470447" w:rsidP="003A2B1C">
            <w:pPr>
              <w:spacing w:before="120" w:after="120"/>
              <w:jc w:val="center"/>
              <w:rPr>
                <w:rFonts w:ascii="Arial" w:hAnsi="Arial" w:cs="Arial"/>
                <w:b/>
                <w:bCs/>
                <w:sz w:val="24"/>
                <w:szCs w:val="24"/>
              </w:rPr>
            </w:pPr>
            <w:r>
              <w:rPr>
                <w:rFonts w:ascii="Arial" w:hAnsi="Arial"/>
                <w:sz w:val="22"/>
              </w:rPr>
              <w:t>FLEXCARE V 6200</w:t>
            </w:r>
            <w:r w:rsidR="003A2B1C">
              <w:rPr>
                <w:rFonts w:ascii="Arial" w:hAnsi="Arial"/>
                <w:sz w:val="22"/>
              </w:rPr>
              <w:t xml:space="preserve"> </w:t>
            </w:r>
            <w:r>
              <w:rPr>
                <w:rFonts w:ascii="Arial" w:hAnsi="Arial"/>
                <w:sz w:val="22"/>
              </w:rPr>
              <w:t>avec une commande précise</w:t>
            </w:r>
          </w:p>
        </w:tc>
        <w:tc>
          <w:tcPr>
            <w:tcW w:w="4531" w:type="dxa"/>
          </w:tcPr>
          <w:p w14:paraId="6C4E8816" w14:textId="7CDF9EC9" w:rsidR="00470447" w:rsidRPr="00BA58AA" w:rsidRDefault="003A2B1C" w:rsidP="003A2B1C">
            <w:pPr>
              <w:spacing w:before="120" w:after="120"/>
              <w:jc w:val="center"/>
              <w:rPr>
                <w:rFonts w:ascii="Arial" w:hAnsi="Arial" w:cs="Arial"/>
                <w:sz w:val="22"/>
                <w:szCs w:val="22"/>
              </w:rPr>
            </w:pPr>
            <w:r>
              <w:rPr>
                <w:rFonts w:ascii="Arial" w:hAnsi="Arial"/>
                <w:sz w:val="22"/>
              </w:rPr>
              <w:t xml:space="preserve">La </w:t>
            </w:r>
            <w:r w:rsidR="0052408A">
              <w:rPr>
                <w:rFonts w:ascii="Arial" w:hAnsi="Arial"/>
                <w:sz w:val="22"/>
              </w:rPr>
              <w:t>FLEXCARE V 6200</w:t>
            </w:r>
            <w:r>
              <w:rPr>
                <w:rFonts w:ascii="Arial" w:hAnsi="Arial"/>
                <w:sz w:val="22"/>
              </w:rPr>
              <w:t xml:space="preserve"> </w:t>
            </w:r>
            <w:r w:rsidR="14395E20" w:rsidRPr="744165C6">
              <w:rPr>
                <w:rFonts w:ascii="Arial" w:hAnsi="Arial"/>
                <w:sz w:val="22"/>
                <w:szCs w:val="22"/>
              </w:rPr>
              <w:t xml:space="preserve">brille </w:t>
            </w:r>
            <w:r w:rsidR="7D0F58BC" w:rsidRPr="744165C6">
              <w:rPr>
                <w:rFonts w:ascii="Arial" w:hAnsi="Arial"/>
                <w:sz w:val="22"/>
                <w:szCs w:val="22"/>
              </w:rPr>
              <w:t xml:space="preserve">particulièrement </w:t>
            </w:r>
            <w:r w:rsidR="3D505FFD" w:rsidRPr="744165C6">
              <w:rPr>
                <w:rFonts w:ascii="Arial" w:hAnsi="Arial"/>
                <w:sz w:val="22"/>
                <w:szCs w:val="22"/>
              </w:rPr>
              <w:t xml:space="preserve">dans </w:t>
            </w:r>
            <w:r w:rsidR="7D0F58BC" w:rsidRPr="744165C6">
              <w:rPr>
                <w:rFonts w:ascii="Arial" w:hAnsi="Arial"/>
                <w:sz w:val="22"/>
                <w:szCs w:val="22"/>
              </w:rPr>
              <w:t>les coins de champ</w:t>
            </w:r>
          </w:p>
        </w:tc>
      </w:tr>
      <w:tr w:rsidR="00470447" w:rsidRPr="00052AF2" w14:paraId="7C923738" w14:textId="77777777" w:rsidTr="003A2B1C">
        <w:tc>
          <w:tcPr>
            <w:tcW w:w="4531" w:type="dxa"/>
          </w:tcPr>
          <w:p w14:paraId="572AB5FB" w14:textId="202DA95C" w:rsidR="00666D5A" w:rsidRPr="00052AF2" w:rsidRDefault="003A2B1C" w:rsidP="003A2B1C">
            <w:pPr>
              <w:spacing w:before="120" w:after="120"/>
              <w:jc w:val="center"/>
              <w:rPr>
                <w:rFonts w:ascii="Arial" w:hAnsi="Arial" w:cs="Arial"/>
              </w:rPr>
            </w:pPr>
            <w:hyperlink r:id="rId12" w:history="1">
              <w:r w:rsidR="0040571D">
                <w:rPr>
                  <w:rStyle w:val="Lienhypertexte"/>
                  <w:rFonts w:ascii="Arial" w:hAnsi="Arial"/>
                </w:rPr>
                <w:t>https://www.poettinger.at/fr_fr</w:t>
              </w:r>
              <w:r w:rsidR="0040571D">
                <w:rPr>
                  <w:rStyle w:val="Lienhypertexte"/>
                  <w:rFonts w:ascii="Arial" w:hAnsi="Arial"/>
                </w:rPr>
                <w:t>/</w:t>
              </w:r>
              <w:r w:rsidR="0040571D">
                <w:rPr>
                  <w:rStyle w:val="Lienhypertexte"/>
                  <w:rFonts w:ascii="Arial" w:hAnsi="Arial"/>
                </w:rPr>
                <w:t>newsroom/pressebild/105275</w:t>
              </w:r>
            </w:hyperlink>
          </w:p>
        </w:tc>
        <w:tc>
          <w:tcPr>
            <w:tcW w:w="4531" w:type="dxa"/>
          </w:tcPr>
          <w:p w14:paraId="1C9433C1" w14:textId="12C6F9BA" w:rsidR="005F3B3C" w:rsidRPr="00052AF2" w:rsidRDefault="003A2B1C" w:rsidP="003A2B1C">
            <w:pPr>
              <w:spacing w:before="120" w:after="120"/>
              <w:jc w:val="center"/>
              <w:rPr>
                <w:rFonts w:ascii="Arial" w:hAnsi="Arial" w:cs="Arial"/>
              </w:rPr>
            </w:pPr>
            <w:hyperlink r:id="rId13" w:history="1">
              <w:r w:rsidR="0040571D">
                <w:rPr>
                  <w:rStyle w:val="Lienhypertexte"/>
                  <w:rFonts w:ascii="Arial" w:hAnsi="Arial"/>
                </w:rPr>
                <w:t>https://www.poettinger.at</w:t>
              </w:r>
              <w:r w:rsidR="0040571D">
                <w:rPr>
                  <w:rStyle w:val="Lienhypertexte"/>
                  <w:rFonts w:ascii="Arial" w:hAnsi="Arial"/>
                </w:rPr>
                <w:t>/</w:t>
              </w:r>
              <w:r w:rsidR="0040571D">
                <w:rPr>
                  <w:rStyle w:val="Lienhypertexte"/>
                  <w:rFonts w:ascii="Arial" w:hAnsi="Arial"/>
                </w:rPr>
                <w:t>fr_fr/newsroom/pressebild/105274</w:t>
              </w:r>
            </w:hyperlink>
          </w:p>
        </w:tc>
      </w:tr>
    </w:tbl>
    <w:p w14:paraId="37AE6D8B" w14:textId="77777777" w:rsidR="00F132D0" w:rsidRPr="00052AF2" w:rsidRDefault="00F132D0" w:rsidP="0015146E">
      <w:pPr>
        <w:spacing w:after="0" w:line="240" w:lineRule="auto"/>
        <w:jc w:val="both"/>
        <w:rPr>
          <w:rFonts w:ascii="Arial" w:hAnsi="Arial" w:cs="Arial"/>
          <w:b/>
          <w:bCs/>
          <w:sz w:val="24"/>
          <w:szCs w:val="24"/>
        </w:rPr>
      </w:pPr>
    </w:p>
    <w:tbl>
      <w:tblPr>
        <w:tblStyle w:val="Grilledutableau"/>
        <w:tblW w:w="0" w:type="auto"/>
        <w:tblLook w:val="04A0" w:firstRow="1" w:lastRow="0" w:firstColumn="1" w:lastColumn="0" w:noHBand="0" w:noVBand="1"/>
      </w:tblPr>
      <w:tblGrid>
        <w:gridCol w:w="4531"/>
      </w:tblGrid>
      <w:tr w:rsidR="0012618C" w14:paraId="3B8C638F" w14:textId="77777777" w:rsidTr="003A2B1C">
        <w:tc>
          <w:tcPr>
            <w:tcW w:w="4531" w:type="dxa"/>
          </w:tcPr>
          <w:p w14:paraId="326A8566" w14:textId="5365D5D2" w:rsidR="0012618C" w:rsidRDefault="0012618C" w:rsidP="003A2B1C">
            <w:pPr>
              <w:widowControl w:val="0"/>
              <w:autoSpaceDE w:val="0"/>
              <w:autoSpaceDN w:val="0"/>
              <w:adjustRightInd w:val="0"/>
              <w:spacing w:before="120" w:after="120"/>
              <w:jc w:val="center"/>
              <w:rPr>
                <w:rFonts w:ascii="Arial" w:hAnsi="Arial" w:cs="Arial"/>
                <w:snapToGrid w:val="0"/>
                <w:color w:val="000000"/>
              </w:rPr>
            </w:pPr>
            <w:r>
              <w:rPr>
                <w:noProof/>
              </w:rPr>
              <w:drawing>
                <wp:inline distT="0" distB="0" distL="0" distR="0" wp14:anchorId="767699A3" wp14:editId="34B2BD8A">
                  <wp:extent cx="1795126" cy="1008000"/>
                  <wp:effectExtent l="0" t="0" r="0" b="1905"/>
                  <wp:docPr id="213727241" name="Grafik 1" descr="Ein Bild, das Reifen, Gelände, 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7241" name="Grafik 1" descr="Ein Bild, das Reifen, Gelände, Fahrzeug, Ra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5126" cy="1008000"/>
                          </a:xfrm>
                          <a:prstGeom prst="rect">
                            <a:avLst/>
                          </a:prstGeom>
                          <a:noFill/>
                          <a:ln>
                            <a:noFill/>
                          </a:ln>
                        </pic:spPr>
                      </pic:pic>
                    </a:graphicData>
                  </a:graphic>
                </wp:inline>
              </w:drawing>
            </w:r>
          </w:p>
        </w:tc>
      </w:tr>
      <w:tr w:rsidR="0012618C" w:rsidRPr="0012618C" w14:paraId="51907082" w14:textId="77777777" w:rsidTr="003A2B1C">
        <w:tc>
          <w:tcPr>
            <w:tcW w:w="4531" w:type="dxa"/>
          </w:tcPr>
          <w:p w14:paraId="13D4460F" w14:textId="6E5A7B00" w:rsidR="0012618C" w:rsidRPr="0012618C" w:rsidRDefault="0012618C" w:rsidP="003A2B1C">
            <w:pPr>
              <w:widowControl w:val="0"/>
              <w:autoSpaceDE w:val="0"/>
              <w:autoSpaceDN w:val="0"/>
              <w:adjustRightInd w:val="0"/>
              <w:spacing w:before="120" w:after="120"/>
              <w:jc w:val="center"/>
              <w:rPr>
                <w:rFonts w:ascii="Arial" w:hAnsi="Arial" w:cs="Arial"/>
                <w:snapToGrid w:val="0"/>
                <w:color w:val="000000"/>
                <w:sz w:val="22"/>
                <w:szCs w:val="22"/>
              </w:rPr>
            </w:pPr>
            <w:r>
              <w:rPr>
                <w:rFonts w:ascii="Arial" w:hAnsi="Arial"/>
                <w:snapToGrid w:val="0"/>
                <w:color w:val="000000"/>
                <w:sz w:val="22"/>
              </w:rPr>
              <w:t>FLEXCARE V 6200 – équipée pour une utilisation polyvalente</w:t>
            </w:r>
          </w:p>
        </w:tc>
      </w:tr>
      <w:tr w:rsidR="0012618C" w:rsidRPr="0012618C" w14:paraId="02C8A938" w14:textId="77777777" w:rsidTr="003A2B1C">
        <w:tc>
          <w:tcPr>
            <w:tcW w:w="4531" w:type="dxa"/>
          </w:tcPr>
          <w:p w14:paraId="2D391ADF" w14:textId="0ACEBD87" w:rsidR="0012618C" w:rsidRPr="0012618C" w:rsidRDefault="003A2B1C" w:rsidP="003A2B1C">
            <w:pPr>
              <w:widowControl w:val="0"/>
              <w:autoSpaceDE w:val="0"/>
              <w:autoSpaceDN w:val="0"/>
              <w:adjustRightInd w:val="0"/>
              <w:spacing w:before="120" w:after="120"/>
              <w:jc w:val="center"/>
              <w:rPr>
                <w:rFonts w:ascii="Arial" w:hAnsi="Arial" w:cs="Arial"/>
                <w:snapToGrid w:val="0"/>
                <w:color w:val="000000"/>
              </w:rPr>
            </w:pPr>
            <w:hyperlink r:id="rId15" w:history="1">
              <w:r w:rsidRPr="007321FC">
                <w:rPr>
                  <w:rStyle w:val="Lienhypertexte"/>
                  <w:rFonts w:ascii="Arial" w:hAnsi="Arial"/>
                  <w:snapToGrid w:val="0"/>
                </w:rPr>
                <w:t>https://www.poettinger.at</w:t>
              </w:r>
              <w:r w:rsidRPr="007321FC">
                <w:rPr>
                  <w:rStyle w:val="Lienhypertexte"/>
                  <w:rFonts w:ascii="Arial" w:hAnsi="Arial"/>
                  <w:snapToGrid w:val="0"/>
                </w:rPr>
                <w:t>/</w:t>
              </w:r>
              <w:r w:rsidRPr="007321FC">
                <w:rPr>
                  <w:rStyle w:val="Lienhypertexte"/>
                  <w:rFonts w:ascii="Arial" w:hAnsi="Arial"/>
                  <w:snapToGrid w:val="0"/>
                </w:rPr>
                <w:t>fr</w:t>
              </w:r>
              <w:r w:rsidRPr="007321FC">
                <w:rPr>
                  <w:rStyle w:val="Lienhypertexte"/>
                  <w:rFonts w:ascii="Arial" w:hAnsi="Arial"/>
                  <w:snapToGrid w:val="0"/>
                </w:rPr>
                <w:t>_</w:t>
              </w:r>
              <w:r w:rsidRPr="007321FC">
                <w:rPr>
                  <w:rStyle w:val="Lienhypertexte"/>
                  <w:rFonts w:ascii="Arial" w:hAnsi="Arial"/>
                  <w:snapToGrid w:val="0"/>
                </w:rPr>
                <w:t>f</w:t>
              </w:r>
              <w:r w:rsidRPr="007321FC">
                <w:rPr>
                  <w:rStyle w:val="Lienhypertexte"/>
                  <w:rFonts w:ascii="Arial" w:hAnsi="Arial"/>
                  <w:snapToGrid w:val="0"/>
                </w:rPr>
                <w:t>r/newsr</w:t>
              </w:r>
              <w:r w:rsidRPr="007321FC">
                <w:rPr>
                  <w:rStyle w:val="Lienhypertexte"/>
                  <w:rFonts w:ascii="Arial" w:hAnsi="Arial"/>
                  <w:snapToGrid w:val="0"/>
                </w:rPr>
                <w:t>o</w:t>
              </w:r>
              <w:r w:rsidRPr="007321FC">
                <w:rPr>
                  <w:rStyle w:val="Lienhypertexte"/>
                  <w:rFonts w:ascii="Arial" w:hAnsi="Arial"/>
                  <w:snapToGrid w:val="0"/>
                </w:rPr>
                <w:t>om/presse</w:t>
              </w:r>
              <w:r w:rsidRPr="007321FC">
                <w:rPr>
                  <w:rStyle w:val="Lienhypertexte"/>
                  <w:rFonts w:ascii="Arial" w:hAnsi="Arial"/>
                  <w:snapToGrid w:val="0"/>
                </w:rPr>
                <w:br/>
              </w:r>
              <w:proofErr w:type="spellStart"/>
              <w:r w:rsidRPr="007321FC">
                <w:rPr>
                  <w:rStyle w:val="Lienhypertexte"/>
                  <w:rFonts w:ascii="Arial" w:hAnsi="Arial"/>
                  <w:snapToGrid w:val="0"/>
                </w:rPr>
                <w:t>bild</w:t>
              </w:r>
              <w:proofErr w:type="spellEnd"/>
              <w:r w:rsidRPr="007321FC">
                <w:rPr>
                  <w:rStyle w:val="Lienhypertexte"/>
                  <w:rFonts w:ascii="Arial" w:hAnsi="Arial"/>
                  <w:snapToGrid w:val="0"/>
                </w:rPr>
                <w:t>/</w:t>
              </w:r>
              <w:r w:rsidRPr="007321FC">
                <w:rPr>
                  <w:rStyle w:val="Lienhypertexte"/>
                  <w:rFonts w:ascii="Arial" w:hAnsi="Arial"/>
                  <w:snapToGrid w:val="0"/>
                </w:rPr>
                <w:t>1</w:t>
              </w:r>
              <w:r w:rsidRPr="007321FC">
                <w:rPr>
                  <w:rStyle w:val="Lienhypertexte"/>
                  <w:rFonts w:ascii="Arial" w:hAnsi="Arial"/>
                  <w:snapToGrid w:val="0"/>
                </w:rPr>
                <w:t>5341</w:t>
              </w:r>
            </w:hyperlink>
          </w:p>
        </w:tc>
      </w:tr>
    </w:tbl>
    <w:p w14:paraId="324113DC" w14:textId="67093069" w:rsidR="004A6F02" w:rsidRDefault="004A6F02" w:rsidP="003F1E7D">
      <w:pPr>
        <w:widowControl w:val="0"/>
        <w:autoSpaceDE w:val="0"/>
        <w:autoSpaceDN w:val="0"/>
        <w:adjustRightInd w:val="0"/>
        <w:spacing w:line="360" w:lineRule="auto"/>
        <w:jc w:val="both"/>
        <w:rPr>
          <w:rFonts w:ascii="Arial" w:hAnsi="Arial" w:cs="Arial"/>
          <w:snapToGrid w:val="0"/>
          <w:color w:val="000000"/>
          <w:lang w:eastAsia="de-DE"/>
        </w:rPr>
      </w:pPr>
    </w:p>
    <w:p w14:paraId="1CC83ED2" w14:textId="77777777" w:rsidR="0040571D" w:rsidRPr="003F1E7D" w:rsidRDefault="0040571D" w:rsidP="0040571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6" w:history="1">
        <w:r>
          <w:rPr>
            <w:rStyle w:val="Lienhypertexte"/>
            <w:rFonts w:ascii="Arial" w:hAnsi="Arial"/>
            <w:snapToGrid w:val="0"/>
          </w:rPr>
          <w:t>https://www.poettinger.at/fr_fr/services/downloadcenter</w:t>
        </w:r>
      </w:hyperlink>
    </w:p>
    <w:p w14:paraId="6B2E8FC5" w14:textId="77777777" w:rsidR="00CA7969" w:rsidRPr="00F25B6C" w:rsidRDefault="00CA7969" w:rsidP="003F1E7D">
      <w:pPr>
        <w:widowControl w:val="0"/>
        <w:autoSpaceDE w:val="0"/>
        <w:autoSpaceDN w:val="0"/>
        <w:adjustRightInd w:val="0"/>
        <w:spacing w:line="360" w:lineRule="auto"/>
        <w:jc w:val="both"/>
        <w:rPr>
          <w:rFonts w:ascii="Arial" w:hAnsi="Arial" w:cs="Arial"/>
          <w:snapToGrid w:val="0"/>
          <w:color w:val="000000"/>
          <w:lang w:eastAsia="de-DE"/>
        </w:rPr>
      </w:pPr>
    </w:p>
    <w:sectPr w:rsidR="00CA7969" w:rsidRPr="00F25B6C">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1AE7" w14:textId="77777777" w:rsidR="00D140AC" w:rsidRDefault="00D140AC" w:rsidP="004311A1">
      <w:pPr>
        <w:spacing w:after="0" w:line="240" w:lineRule="auto"/>
      </w:pPr>
      <w:r>
        <w:separator/>
      </w:r>
    </w:p>
  </w:endnote>
  <w:endnote w:type="continuationSeparator" w:id="0">
    <w:p w14:paraId="15CF77C0" w14:textId="77777777" w:rsidR="00D140AC" w:rsidRDefault="00D140AC" w:rsidP="004311A1">
      <w:pPr>
        <w:spacing w:after="0" w:line="240" w:lineRule="auto"/>
      </w:pPr>
      <w:r>
        <w:continuationSeparator/>
      </w:r>
    </w:p>
  </w:endnote>
  <w:endnote w:type="continuationNotice" w:id="1">
    <w:p w14:paraId="37B32606" w14:textId="77777777" w:rsidR="00D140AC" w:rsidRDefault="00D14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EE298F" w:rsidRDefault="004311A1" w:rsidP="004311A1">
    <w:pPr>
      <w:spacing w:after="0" w:line="240" w:lineRule="auto"/>
      <w:rPr>
        <w:rFonts w:ascii="Arial" w:hAnsi="Arial" w:cs="Arial"/>
        <w:b/>
        <w:sz w:val="20"/>
        <w:szCs w:val="20"/>
        <w:lang w:val="de-DE"/>
      </w:rPr>
    </w:pPr>
    <w:r w:rsidRPr="00EE298F">
      <w:rPr>
        <w:rFonts w:ascii="Arial" w:hAnsi="Arial"/>
        <w:b/>
        <w:sz w:val="20"/>
        <w:lang w:val="de-DE"/>
      </w:rPr>
      <w:t xml:space="preserve">PÖTTINGER Landtechnik GmbH – </w:t>
    </w:r>
    <w:r w:rsidRPr="00EE298F">
      <w:rPr>
        <w:rFonts w:ascii="Arial" w:hAnsi="Arial"/>
        <w:sz w:val="20"/>
        <w:lang w:val="de-DE"/>
      </w:rPr>
      <w:t xml:space="preserve">Communication </w:t>
    </w:r>
    <w:proofErr w:type="spellStart"/>
    <w:r w:rsidRPr="00EE298F">
      <w:rPr>
        <w:rFonts w:ascii="Arial" w:hAnsi="Arial"/>
        <w:sz w:val="20"/>
        <w:lang w:val="de-DE"/>
      </w:rPr>
      <w:t>d'entreprise</w:t>
    </w:r>
    <w:proofErr w:type="spellEnd"/>
  </w:p>
  <w:p w14:paraId="33B2577E" w14:textId="77777777" w:rsidR="004311A1" w:rsidRPr="00EE298F" w:rsidRDefault="004311A1" w:rsidP="004311A1">
    <w:pPr>
      <w:spacing w:after="0" w:line="240" w:lineRule="auto"/>
      <w:rPr>
        <w:rFonts w:ascii="Arial" w:hAnsi="Arial" w:cs="Arial"/>
        <w:sz w:val="20"/>
        <w:szCs w:val="20"/>
        <w:lang w:val="de-DE"/>
      </w:rPr>
    </w:pPr>
    <w:r w:rsidRPr="00EE298F">
      <w:rPr>
        <w:rFonts w:ascii="Arial" w:hAnsi="Arial"/>
        <w:sz w:val="20"/>
        <w:lang w:val="de-DE"/>
      </w:rPr>
      <w:t>Inge Steibl, Industriegelände 1, AT-4710 Grieskirchen</w:t>
    </w:r>
  </w:p>
  <w:p w14:paraId="21B2AF5C" w14:textId="5BD34A3F" w:rsidR="004311A1" w:rsidRDefault="004311A1" w:rsidP="004311A1">
    <w:pPr>
      <w:pStyle w:val="Pieddepage"/>
    </w:pPr>
    <w:r>
      <w:rPr>
        <w:rFonts w:ascii="Arial" w:hAnsi="Arial"/>
        <w:sz w:val="20"/>
      </w:rPr>
      <w:t xml:space="preserve">Tél. +43 7248 600-2415, e-mail :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6443" w14:textId="77777777" w:rsidR="00D140AC" w:rsidRDefault="00D140AC" w:rsidP="004311A1">
      <w:pPr>
        <w:spacing w:after="0" w:line="240" w:lineRule="auto"/>
      </w:pPr>
      <w:r>
        <w:separator/>
      </w:r>
    </w:p>
  </w:footnote>
  <w:footnote w:type="continuationSeparator" w:id="0">
    <w:p w14:paraId="73ADD34B" w14:textId="77777777" w:rsidR="00D140AC" w:rsidRDefault="00D140AC" w:rsidP="004311A1">
      <w:pPr>
        <w:spacing w:after="0" w:line="240" w:lineRule="auto"/>
      </w:pPr>
      <w:r>
        <w:continuationSeparator/>
      </w:r>
    </w:p>
  </w:footnote>
  <w:footnote w:type="continuationNotice" w:id="1">
    <w:p w14:paraId="21A35CDF" w14:textId="77777777" w:rsidR="00D140AC" w:rsidRDefault="00D14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En-tte"/>
    </w:pPr>
    <w:r>
      <w:rPr>
        <w:rFonts w:ascii="Arial" w:hAnsi="Arial"/>
        <w:b/>
        <w:noProof/>
        <w:sz w:val="24"/>
      </w:rPr>
      <w:drawing>
        <wp:anchor distT="0" distB="0" distL="114300" distR="114300" simplePos="0" relativeHeight="251658240"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En-tte"/>
      <w:rPr>
        <w:rFonts w:ascii="Arial" w:hAnsi="Arial" w:cs="Arial"/>
        <w:b/>
        <w:bCs/>
        <w:sz w:val="24"/>
        <w:szCs w:val="24"/>
      </w:rPr>
    </w:pPr>
    <w:r>
      <w:rPr>
        <w:rFonts w:ascii="Arial" w:hAnsi="Arial"/>
        <w:b/>
        <w:sz w:val="24"/>
      </w:rPr>
      <w:t>Communiqué de presse</w:t>
    </w:r>
  </w:p>
  <w:p w14:paraId="10D94F97" w14:textId="77777777" w:rsidR="001F6352" w:rsidRDefault="001F6352">
    <w:pPr>
      <w:pStyle w:val="En-tte"/>
      <w:rPr>
        <w:rFonts w:ascii="Arial" w:hAnsi="Arial" w:cs="Arial"/>
        <w:b/>
        <w:bCs/>
        <w:sz w:val="24"/>
        <w:szCs w:val="24"/>
      </w:rPr>
    </w:pPr>
  </w:p>
  <w:p w14:paraId="3408B22E" w14:textId="77777777" w:rsidR="001F6352" w:rsidRPr="001F6352" w:rsidRDefault="001F6352">
    <w:pPr>
      <w:pStyle w:val="En-tte"/>
      <w:rPr>
        <w:rFonts w:ascii="Arial" w:hAnsi="Arial" w:cs="Arial"/>
        <w:b/>
        <w:bCs/>
        <w:sz w:val="24"/>
        <w:szCs w:val="24"/>
      </w:rPr>
    </w:pPr>
  </w:p>
</w:hdr>
</file>

<file path=word/intelligence2.xml><?xml version="1.0" encoding="utf-8"?>
<int2:intelligence xmlns:int2="http://schemas.microsoft.com/office/intelligence/2020/intelligence" xmlns:oel="http://schemas.microsoft.com/office/2019/extlst">
  <int2:observations>
    <int2:textHash int2:hashCode="9VRncFK8BArNP9" int2:id="SF0YVtZ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67C17"/>
    <w:multiLevelType w:val="multilevel"/>
    <w:tmpl w:val="8BD0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E6339A"/>
    <w:multiLevelType w:val="multilevel"/>
    <w:tmpl w:val="9E94F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2"/>
  </w:num>
  <w:num w:numId="2" w16cid:durableId="1050886229">
    <w:abstractNumId w:val="0"/>
  </w:num>
  <w:num w:numId="3" w16cid:durableId="1809736544">
    <w:abstractNumId w:val="4"/>
  </w:num>
  <w:num w:numId="4" w16cid:durableId="299111516">
    <w:abstractNumId w:val="3"/>
  </w:num>
  <w:num w:numId="5" w16cid:durableId="57116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4678F"/>
    <w:rsid w:val="00051C90"/>
    <w:rsid w:val="00052AF2"/>
    <w:rsid w:val="000635D3"/>
    <w:rsid w:val="000643B7"/>
    <w:rsid w:val="00093872"/>
    <w:rsid w:val="000938A3"/>
    <w:rsid w:val="000C4E9F"/>
    <w:rsid w:val="000C760A"/>
    <w:rsid w:val="000C7C4C"/>
    <w:rsid w:val="000E5D13"/>
    <w:rsid w:val="000F3CBE"/>
    <w:rsid w:val="0011312A"/>
    <w:rsid w:val="0012618C"/>
    <w:rsid w:val="0015146E"/>
    <w:rsid w:val="00153B90"/>
    <w:rsid w:val="00162C83"/>
    <w:rsid w:val="0019170F"/>
    <w:rsid w:val="001A3222"/>
    <w:rsid w:val="001E56D5"/>
    <w:rsid w:val="001F02A9"/>
    <w:rsid w:val="001F10FA"/>
    <w:rsid w:val="001F6352"/>
    <w:rsid w:val="002026E8"/>
    <w:rsid w:val="0021220A"/>
    <w:rsid w:val="00234361"/>
    <w:rsid w:val="00244777"/>
    <w:rsid w:val="00275935"/>
    <w:rsid w:val="00277664"/>
    <w:rsid w:val="00293041"/>
    <w:rsid w:val="002D6C7B"/>
    <w:rsid w:val="002E1084"/>
    <w:rsid w:val="002E53C3"/>
    <w:rsid w:val="002F2BCF"/>
    <w:rsid w:val="002F689C"/>
    <w:rsid w:val="00345B86"/>
    <w:rsid w:val="00347F99"/>
    <w:rsid w:val="003534FC"/>
    <w:rsid w:val="0036361B"/>
    <w:rsid w:val="00386341"/>
    <w:rsid w:val="003A2B1C"/>
    <w:rsid w:val="003B481F"/>
    <w:rsid w:val="003D000A"/>
    <w:rsid w:val="003D2773"/>
    <w:rsid w:val="003F1E7D"/>
    <w:rsid w:val="004026CA"/>
    <w:rsid w:val="0040571D"/>
    <w:rsid w:val="00410B87"/>
    <w:rsid w:val="004311A1"/>
    <w:rsid w:val="00432C24"/>
    <w:rsid w:val="004355F1"/>
    <w:rsid w:val="00452BEC"/>
    <w:rsid w:val="00452E97"/>
    <w:rsid w:val="00454D8C"/>
    <w:rsid w:val="0045686B"/>
    <w:rsid w:val="00470447"/>
    <w:rsid w:val="00471D6A"/>
    <w:rsid w:val="004866AE"/>
    <w:rsid w:val="004929D1"/>
    <w:rsid w:val="00496ED0"/>
    <w:rsid w:val="004A6F02"/>
    <w:rsid w:val="004D11B8"/>
    <w:rsid w:val="00502A12"/>
    <w:rsid w:val="0052173B"/>
    <w:rsid w:val="0052408A"/>
    <w:rsid w:val="005304E2"/>
    <w:rsid w:val="00533AB7"/>
    <w:rsid w:val="0054007C"/>
    <w:rsid w:val="00542BD9"/>
    <w:rsid w:val="00554CCF"/>
    <w:rsid w:val="005847FD"/>
    <w:rsid w:val="005C0DD9"/>
    <w:rsid w:val="005D2ACE"/>
    <w:rsid w:val="005F3B3C"/>
    <w:rsid w:val="005F6FB7"/>
    <w:rsid w:val="0060156A"/>
    <w:rsid w:val="0060543B"/>
    <w:rsid w:val="00611E6B"/>
    <w:rsid w:val="00622EEF"/>
    <w:rsid w:val="006341A6"/>
    <w:rsid w:val="006408B1"/>
    <w:rsid w:val="00663AA6"/>
    <w:rsid w:val="00663FF7"/>
    <w:rsid w:val="00666D5A"/>
    <w:rsid w:val="00671D92"/>
    <w:rsid w:val="00683216"/>
    <w:rsid w:val="00683859"/>
    <w:rsid w:val="006B038D"/>
    <w:rsid w:val="006D23D6"/>
    <w:rsid w:val="007269F6"/>
    <w:rsid w:val="007575BD"/>
    <w:rsid w:val="00763A25"/>
    <w:rsid w:val="00766AE3"/>
    <w:rsid w:val="00771288"/>
    <w:rsid w:val="00771BE0"/>
    <w:rsid w:val="00780B92"/>
    <w:rsid w:val="007932DF"/>
    <w:rsid w:val="00794C66"/>
    <w:rsid w:val="007F40D7"/>
    <w:rsid w:val="00832BA5"/>
    <w:rsid w:val="008401DF"/>
    <w:rsid w:val="0086132C"/>
    <w:rsid w:val="00874824"/>
    <w:rsid w:val="008C7810"/>
    <w:rsid w:val="008D31CB"/>
    <w:rsid w:val="009168FD"/>
    <w:rsid w:val="00916BE8"/>
    <w:rsid w:val="00930673"/>
    <w:rsid w:val="00955FC8"/>
    <w:rsid w:val="009624BC"/>
    <w:rsid w:val="00982A16"/>
    <w:rsid w:val="00984FE0"/>
    <w:rsid w:val="009A1CB6"/>
    <w:rsid w:val="009C2C02"/>
    <w:rsid w:val="009D6D53"/>
    <w:rsid w:val="009E0599"/>
    <w:rsid w:val="009E0E3F"/>
    <w:rsid w:val="009F5312"/>
    <w:rsid w:val="00A46B16"/>
    <w:rsid w:val="00A90BE0"/>
    <w:rsid w:val="00AA51CF"/>
    <w:rsid w:val="00AB5426"/>
    <w:rsid w:val="00AC60E9"/>
    <w:rsid w:val="00AE3347"/>
    <w:rsid w:val="00AF212C"/>
    <w:rsid w:val="00B0119B"/>
    <w:rsid w:val="00B44BDB"/>
    <w:rsid w:val="00B534C5"/>
    <w:rsid w:val="00B86598"/>
    <w:rsid w:val="00BA1440"/>
    <w:rsid w:val="00BA58AA"/>
    <w:rsid w:val="00BB14A2"/>
    <w:rsid w:val="00BB6AF4"/>
    <w:rsid w:val="00BC6E38"/>
    <w:rsid w:val="00BD470F"/>
    <w:rsid w:val="00BE2D0B"/>
    <w:rsid w:val="00BE71B9"/>
    <w:rsid w:val="00C046A4"/>
    <w:rsid w:val="00C075A9"/>
    <w:rsid w:val="00C32699"/>
    <w:rsid w:val="00C54DCD"/>
    <w:rsid w:val="00C642AF"/>
    <w:rsid w:val="00C64941"/>
    <w:rsid w:val="00C82AC1"/>
    <w:rsid w:val="00C85CBE"/>
    <w:rsid w:val="00C9208A"/>
    <w:rsid w:val="00CA7969"/>
    <w:rsid w:val="00CD5275"/>
    <w:rsid w:val="00CD5FBD"/>
    <w:rsid w:val="00CF3337"/>
    <w:rsid w:val="00CF3A8F"/>
    <w:rsid w:val="00CF5EFC"/>
    <w:rsid w:val="00D01F08"/>
    <w:rsid w:val="00D140AC"/>
    <w:rsid w:val="00D14975"/>
    <w:rsid w:val="00D16B9C"/>
    <w:rsid w:val="00D37433"/>
    <w:rsid w:val="00D42C0E"/>
    <w:rsid w:val="00D85EBD"/>
    <w:rsid w:val="00D85F90"/>
    <w:rsid w:val="00D9002B"/>
    <w:rsid w:val="00D9117D"/>
    <w:rsid w:val="00DA2A2D"/>
    <w:rsid w:val="00DD7DFB"/>
    <w:rsid w:val="00DE1DD2"/>
    <w:rsid w:val="00E02E93"/>
    <w:rsid w:val="00E36FDD"/>
    <w:rsid w:val="00E42F5D"/>
    <w:rsid w:val="00E47134"/>
    <w:rsid w:val="00E71F57"/>
    <w:rsid w:val="00EA4998"/>
    <w:rsid w:val="00EB4EC2"/>
    <w:rsid w:val="00ED65DA"/>
    <w:rsid w:val="00EE298F"/>
    <w:rsid w:val="00EF7029"/>
    <w:rsid w:val="00F01B39"/>
    <w:rsid w:val="00F07839"/>
    <w:rsid w:val="00F132D0"/>
    <w:rsid w:val="00F1687B"/>
    <w:rsid w:val="00F25B6C"/>
    <w:rsid w:val="00F37FD7"/>
    <w:rsid w:val="00F417CC"/>
    <w:rsid w:val="00F4295B"/>
    <w:rsid w:val="00F51CF3"/>
    <w:rsid w:val="00F6776D"/>
    <w:rsid w:val="00F75C9B"/>
    <w:rsid w:val="00F94121"/>
    <w:rsid w:val="00F9623F"/>
    <w:rsid w:val="00FA5DE0"/>
    <w:rsid w:val="00FB2306"/>
    <w:rsid w:val="00FB3FA4"/>
    <w:rsid w:val="00FE3C58"/>
    <w:rsid w:val="00FF61F3"/>
    <w:rsid w:val="07AB15FB"/>
    <w:rsid w:val="0A120858"/>
    <w:rsid w:val="0C0575DD"/>
    <w:rsid w:val="0CC5A701"/>
    <w:rsid w:val="0D290B5A"/>
    <w:rsid w:val="0D83392F"/>
    <w:rsid w:val="0FF41C22"/>
    <w:rsid w:val="0FFB7BE8"/>
    <w:rsid w:val="11EA64DC"/>
    <w:rsid w:val="12EA595D"/>
    <w:rsid w:val="14395E20"/>
    <w:rsid w:val="16168802"/>
    <w:rsid w:val="173AF6F8"/>
    <w:rsid w:val="1C79B8F3"/>
    <w:rsid w:val="1EECF224"/>
    <w:rsid w:val="1F777E87"/>
    <w:rsid w:val="2059B1DE"/>
    <w:rsid w:val="221D348E"/>
    <w:rsid w:val="246F1B5C"/>
    <w:rsid w:val="2A70DD14"/>
    <w:rsid w:val="2ADC08E5"/>
    <w:rsid w:val="2C737893"/>
    <w:rsid w:val="2D4BE170"/>
    <w:rsid w:val="2E808DA2"/>
    <w:rsid w:val="31A3EEB1"/>
    <w:rsid w:val="322DCD7A"/>
    <w:rsid w:val="3266EF0D"/>
    <w:rsid w:val="341859CB"/>
    <w:rsid w:val="344F95D3"/>
    <w:rsid w:val="3469E60B"/>
    <w:rsid w:val="349D3F40"/>
    <w:rsid w:val="351F578A"/>
    <w:rsid w:val="364CF208"/>
    <w:rsid w:val="398492CA"/>
    <w:rsid w:val="3A01A47A"/>
    <w:rsid w:val="3A1DFC9E"/>
    <w:rsid w:val="3B9B97A9"/>
    <w:rsid w:val="3BDE8890"/>
    <w:rsid w:val="3BFC5E87"/>
    <w:rsid w:val="3CAC597B"/>
    <w:rsid w:val="3CADAA09"/>
    <w:rsid w:val="3CCC2BE9"/>
    <w:rsid w:val="3CEAA42F"/>
    <w:rsid w:val="3D505FFD"/>
    <w:rsid w:val="3E557437"/>
    <w:rsid w:val="3EDFAD84"/>
    <w:rsid w:val="3FDAABF1"/>
    <w:rsid w:val="3FE3FA3D"/>
    <w:rsid w:val="4048E1BC"/>
    <w:rsid w:val="412BF299"/>
    <w:rsid w:val="42ADD56E"/>
    <w:rsid w:val="451AFF6B"/>
    <w:rsid w:val="4568E433"/>
    <w:rsid w:val="45E57630"/>
    <w:rsid w:val="47B6AD2F"/>
    <w:rsid w:val="4853F3A1"/>
    <w:rsid w:val="4A7CF0EC"/>
    <w:rsid w:val="4AEE4DF1"/>
    <w:rsid w:val="508E0AA8"/>
    <w:rsid w:val="5338F7C7"/>
    <w:rsid w:val="5369A8C6"/>
    <w:rsid w:val="54C79FFF"/>
    <w:rsid w:val="5660F372"/>
    <w:rsid w:val="56D63490"/>
    <w:rsid w:val="56E4AC57"/>
    <w:rsid w:val="58C2855C"/>
    <w:rsid w:val="59164CF8"/>
    <w:rsid w:val="59223B1D"/>
    <w:rsid w:val="59B3AB7F"/>
    <w:rsid w:val="5A7B9AE3"/>
    <w:rsid w:val="5B3B6FE8"/>
    <w:rsid w:val="5C2E788F"/>
    <w:rsid w:val="5DF2F2D8"/>
    <w:rsid w:val="5EB8756A"/>
    <w:rsid w:val="600C5155"/>
    <w:rsid w:val="617BA0C5"/>
    <w:rsid w:val="6492795C"/>
    <w:rsid w:val="649C43A9"/>
    <w:rsid w:val="67A5B1E7"/>
    <w:rsid w:val="69642A78"/>
    <w:rsid w:val="6A37F052"/>
    <w:rsid w:val="6BA6A120"/>
    <w:rsid w:val="6C2939EB"/>
    <w:rsid w:val="6C2C2E48"/>
    <w:rsid w:val="6C357C94"/>
    <w:rsid w:val="6C7EF9F5"/>
    <w:rsid w:val="6D037C0A"/>
    <w:rsid w:val="701A5494"/>
    <w:rsid w:val="706BB3A6"/>
    <w:rsid w:val="7170A2D6"/>
    <w:rsid w:val="71CB2C29"/>
    <w:rsid w:val="74082F86"/>
    <w:rsid w:val="744165C6"/>
    <w:rsid w:val="74F2074C"/>
    <w:rsid w:val="757E1605"/>
    <w:rsid w:val="769135F3"/>
    <w:rsid w:val="773FD048"/>
    <w:rsid w:val="7954F54F"/>
    <w:rsid w:val="7957AB3E"/>
    <w:rsid w:val="798F800F"/>
    <w:rsid w:val="7C5BD360"/>
    <w:rsid w:val="7D0F58BC"/>
    <w:rsid w:val="7D6D88B4"/>
    <w:rsid w:val="7F08B527"/>
    <w:rsid w:val="7F87C7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15530325-03BE-446E-88CB-261709A8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4311A1"/>
    <w:pPr>
      <w:tabs>
        <w:tab w:val="center" w:pos="4536"/>
        <w:tab w:val="right" w:pos="9072"/>
      </w:tabs>
      <w:spacing w:after="0" w:line="240" w:lineRule="auto"/>
    </w:pPr>
  </w:style>
  <w:style w:type="character" w:customStyle="1" w:styleId="En-tteCar">
    <w:name w:val="En-tête Car"/>
    <w:basedOn w:val="Policepardfaut"/>
    <w:link w:val="En-tte"/>
    <w:uiPriority w:val="99"/>
    <w:rsid w:val="004311A1"/>
  </w:style>
  <w:style w:type="paragraph" w:styleId="Pieddepage">
    <w:name w:val="footer"/>
    <w:basedOn w:val="Normal"/>
    <w:link w:val="PieddepageCar"/>
    <w:uiPriority w:val="99"/>
    <w:unhideWhenUsed/>
    <w:rsid w:val="00431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A1"/>
  </w:style>
  <w:style w:type="paragraph" w:styleId="Commentaire">
    <w:name w:val="annotation text"/>
    <w:basedOn w:val="Normal"/>
    <w:link w:val="CommentaireCar"/>
    <w:uiPriority w:val="99"/>
    <w:semiHidden/>
    <w:unhideWhenUsed/>
    <w:rsid w:val="004311A1"/>
    <w:pPr>
      <w:spacing w:line="240" w:lineRule="auto"/>
    </w:pPr>
    <w:rPr>
      <w:sz w:val="20"/>
      <w:szCs w:val="20"/>
    </w:rPr>
  </w:style>
  <w:style w:type="character" w:customStyle="1" w:styleId="CommentaireCar">
    <w:name w:val="Commentaire Car"/>
    <w:basedOn w:val="Policepardfaut"/>
    <w:link w:val="Commentaire"/>
    <w:uiPriority w:val="99"/>
    <w:semiHidden/>
    <w:rsid w:val="004311A1"/>
    <w:rPr>
      <w:sz w:val="20"/>
      <w:szCs w:val="20"/>
    </w:rPr>
  </w:style>
  <w:style w:type="table" w:styleId="Grilledutableau">
    <w:name w:val="Table Grid"/>
    <w:basedOn w:val="TableauNormal"/>
    <w:uiPriority w:val="39"/>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66AE3"/>
    <w:rPr>
      <w:color w:val="0000FF"/>
      <w:u w:val="single"/>
    </w:rPr>
  </w:style>
  <w:style w:type="character" w:styleId="Mentionnonrsolue">
    <w:name w:val="Unresolved Mention"/>
    <w:basedOn w:val="Policepardfaut"/>
    <w:uiPriority w:val="99"/>
    <w:semiHidden/>
    <w:unhideWhenUsed/>
    <w:rsid w:val="008D31CB"/>
    <w:rPr>
      <w:color w:val="605E5C"/>
      <w:shd w:val="clear" w:color="auto" w:fill="E1DFDD"/>
    </w:rPr>
  </w:style>
  <w:style w:type="paragraph" w:styleId="NormalWeb">
    <w:name w:val="Normal (Web)"/>
    <w:basedOn w:val="Normal"/>
    <w:uiPriority w:val="99"/>
    <w:semiHidden/>
    <w:unhideWhenUsed/>
    <w:rsid w:val="00F01B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ev">
    <w:name w:val="Strong"/>
    <w:basedOn w:val="Policepardfaut"/>
    <w:uiPriority w:val="22"/>
    <w:qFormat/>
    <w:rsid w:val="00F01B39"/>
    <w:rPr>
      <w:b/>
      <w:bCs/>
    </w:rPr>
  </w:style>
  <w:style w:type="character" w:styleId="Marquedecommentaire">
    <w:name w:val="annotation reference"/>
    <w:basedOn w:val="Policepardfaut"/>
    <w:uiPriority w:val="99"/>
    <w:semiHidden/>
    <w:unhideWhenUsed/>
    <w:rPr>
      <w:sz w:val="16"/>
      <w:szCs w:val="16"/>
    </w:rPr>
  </w:style>
  <w:style w:type="character" w:styleId="Lienhypertextesuivivisit">
    <w:name w:val="FollowedHyperlink"/>
    <w:basedOn w:val="Policepardfaut"/>
    <w:uiPriority w:val="99"/>
    <w:semiHidden/>
    <w:unhideWhenUsed/>
    <w:rsid w:val="002E1084"/>
    <w:rPr>
      <w:color w:val="954F72" w:themeColor="followedHyperlink"/>
      <w:u w:val="single"/>
    </w:rPr>
  </w:style>
  <w:style w:type="paragraph" w:styleId="Rvision">
    <w:name w:val="Revision"/>
    <w:hidden/>
    <w:uiPriority w:val="99"/>
    <w:semiHidden/>
    <w:rsid w:val="003A2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052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poettinger.at/fr_fr/newsroom/pressebild/10527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poettinger.at/fr_fr/newsroom/pressebild/15341"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2.xml><?xml version="1.0" encoding="utf-8"?>
<ds:datastoreItem xmlns:ds="http://schemas.openxmlformats.org/officeDocument/2006/customXml" ds:itemID="{4A280C21-E010-4D82-91C0-BE7068209749}">
  <ds:schemaRefs>
    <ds:schemaRef ds:uri="http://schemas.microsoft.com/office/infopath/2007/PartnerControls"/>
    <ds:schemaRef ds:uri="http://purl.org/dc/elements/1.1/"/>
    <ds:schemaRef ds:uri="http://schemas.microsoft.com/office/2006/metadata/properties"/>
    <ds:schemaRef ds:uri="http://purl.org/dc/terms/"/>
    <ds:schemaRef ds:uri="0c9fabd4-836a-42ce-ab3b-240b75e507cf"/>
    <ds:schemaRef ds:uri="http://schemas.openxmlformats.org/package/2006/metadata/core-properties"/>
    <ds:schemaRef ds:uri="http://schemas.microsoft.com/office/2006/documentManagement/types"/>
    <ds:schemaRef ds:uri="ffa3695f-fc9d-43a0-9b89-e443cfa54e9f"/>
    <ds:schemaRef ds:uri="http://www.w3.org/XML/1998/namespace"/>
    <ds:schemaRef ds:uri="http://purl.org/dc/dcmitype/"/>
  </ds:schemaRefs>
</ds:datastoreItem>
</file>

<file path=customXml/itemProps3.xml><?xml version="1.0" encoding="utf-8"?>
<ds:datastoreItem xmlns:ds="http://schemas.openxmlformats.org/officeDocument/2006/customXml" ds:itemID="{31FB6D93-CF7D-4C21-97EC-975EAC4B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2396</Characters>
  <Application>Microsoft Office Word</Application>
  <DocSecurity>0</DocSecurity>
  <Lines>19</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FLEXCARE Profiline</dc:title>
  <dc:subject/>
  <dc:creator>Meike Nisius</dc:creator>
  <cp:keywords/>
  <dc:description/>
  <cp:lastModifiedBy>Dutter Dorothee</cp:lastModifiedBy>
  <cp:revision>13</cp:revision>
  <cp:lastPrinted>2023-08-09T07:42:00Z</cp:lastPrinted>
  <dcterms:created xsi:type="dcterms:W3CDTF">2024-02-15T07:52:00Z</dcterms:created>
  <dcterms:modified xsi:type="dcterms:W3CDTF">2024-08-07T15:24:00Z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